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snapToGrid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Theme="majorEastAsia" w:cstheme="majorEastAsia"/>
          <w:b/>
          <w:bCs/>
          <w:snapToGrid w:val="0"/>
          <w:kern w:val="0"/>
          <w:sz w:val="44"/>
          <w:szCs w:val="44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-961390</wp:posOffset>
            </wp:positionH>
            <wp:positionV relativeFrom="paragraph">
              <wp:posOffset>-1317625</wp:posOffset>
            </wp:positionV>
            <wp:extent cx="7560310" cy="10693400"/>
            <wp:effectExtent l="0" t="0" r="2540" b="12700"/>
            <wp:wrapNone/>
            <wp:docPr id="1" name="图片 1" descr="经信局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经信局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snapToGrid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关于开展</w:t>
      </w: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绍兴市人工智能典型案例、优秀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展品、应用场景需求及人工智能服务商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eastAsia="zh-CN"/>
        </w:rPr>
        <w:t>征集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各区、县（市）经信局，滨海新区经发局：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进一步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"/>
        </w:rPr>
        <w:t>推动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" w:eastAsia="zh-CN"/>
        </w:rPr>
        <w:t>我市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"/>
        </w:rPr>
        <w:t>人工智能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" w:eastAsia="zh-CN"/>
        </w:rPr>
        <w:t>产业发展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全市人工智能产业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暨“4151”先进制造业强市建设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现场推进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会筹备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及2025 年浙江省人工智能应用场景、应用标杆企业、人工智能服务商及“数智优品”遴选申报工作，拟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绍兴市人工智能典型案例、优秀展品、应用场景需求及人工智能服务商征集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。现就具体事项通知如下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征集范围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 xml:space="preserve"> 1.人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工智能典型案例：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通过部署人工智能相关的软硬件产品、系统应用和集成服务等方式，实现关键工艺环节智能化突破、生产经营降本增效、业务模式创新提升，形成相关智能解决方案、智能体、智能终端等软硬件产品，具有一定的示范引领作用和可复制可推广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2.人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工智能优秀展品：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包括具身智能、行业模型、智能终端、特色类产品四大类，其中，具身智能包括各类传感器、芯片、轴承、减速器、电机、灵巧手、人形机器人等；行业模型包括已经建成以及在建的行业垂直模型、智能体等；智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能终端包括智能家居、智能装备、智能教育等；特色类产品主要为与人工智能密切相关的其余产品。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3.人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工智能应用场景需求：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面向“AI＋制造”“AI＋医疗”“AI＋治理”“AI＋教育”“AI＋交通”“AI＋文旅”“AI＋农业”“AI＋建筑”等千行百业，提供应用场景需求。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人工智能服务商：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面向绍兴市内外相关服务商，应符合以下基本条件：1.须在中华人民共和国境内注册，具有独立法人资格，企业经营和财务状况良好；2.未被列入经营异常名录或严重失信主体名单，且近三年未发生重大事故及偷漏税等违法违规行为；3.具备一定人工智能相关技术服务能力，有成熟的服务案例做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二、报送要求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工智能典型案例：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各地可参考“五个百项”工程进行摸排，案例数量报送不少于5个，报送模板见附件1。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2.人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工智能优秀展品：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各地对照展品征集范围，原则上不少于10件，报送表格见附件2。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sz w:val="32"/>
          <w:szCs w:val="40"/>
          <w:lang w:val="en-US" w:eastAsia="zh-CN"/>
        </w:rPr>
        <w:t>人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工智能应用场景需求：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各地对各领域企业（单位）的需求进行深入摸排，报送数量不少于5个，报送表格见附件3。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人工智能服务商：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发挥相关行业协会等各方作用，鼓励市内外服务商积极申报，报送表格见附件4。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三、成果应用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1.积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极向上推荐。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对本次征集涌现的应用企业、应用场景、优秀展品、优质服务商，将择优推荐申报2025 年浙江省人工智能应用场景、应用标杆企业、人工智能服务商及“数智优品”。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40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加强典型示范。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我局将集中编印全市人工智能典型案例集，在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全市人工智能产业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暨“4151”先进制造业强市建设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现场推进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上发放《案例集》，并作展品集中展示。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.开展对接合作。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建立应用场景需求清单、开放清单和能力清单，结合“十链百场万企”人工智能专场活动等，组织企业、服务商加强供需对接、搭建合作桥梁。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  <w:t>4.加大政策支持。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我局正在谋划制定人工智能产业相关政策，对符合条件的企业予以一定的政策支持。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请各地高度重视此项工作，按照“应摸尽摸、能优则优”原则，做好组织动员，深入细致摸排相关情况，于8月6日（周三）下班前通过浙政钉报我局，联系人：重点产业改革和创新工作专班刘素芬；联系电话：18358572112；报送过程中若有相关疑问，请咨询市经信局创新协作处许常兵，联系电话：13173979616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附件：1.绍兴市人工智能典型案例模板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2.绍兴市人工智能优秀展品信息征集表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3.绍兴市人工智能应用场景需求征集表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4.绍兴市人工智能服务商征集表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绍兴市经济和信息化局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       2025年7月25日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br w:type="page"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绍兴市人工智能典型案例模板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一、企业简介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简要介绍企业情况，篇幅控制在300字以内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二、案例简介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介绍企业引入人工智能技术转型升级过程中的路径、方法、成果等，篇幅控制在800字以内。同时提供三到四张照片，包括企业全景图一张，使用人工智能进行设计、生产、辅助的图片两到三张。（照片清晰度不低于1920×1080像素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经验启示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pgSz w:w="11906" w:h="16838"/>
          <w:pgMar w:top="1440" w:right="1800" w:bottom="1440" w:left="186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介绍人工智能典型案例的典型性和可推广性，突出引入机器学习、智能视觉、行业大模型等人工智能技术过程中的出现技术难点与实现路径，有成为该领域示范样板的发展潜力，篇幅控制在300字以内。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绍兴市人工智能优秀展品信息征集表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2"/>
        <w:tblW w:w="14708" w:type="dxa"/>
        <w:tblInd w:w="-5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445"/>
        <w:gridCol w:w="1194"/>
        <w:gridCol w:w="1328"/>
        <w:gridCol w:w="1810"/>
        <w:gridCol w:w="1634"/>
        <w:gridCol w:w="3312"/>
        <w:gridCol w:w="1664"/>
        <w:gridCol w:w="1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展示产品名称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产品介绍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（实物请附图）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展示方式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具身智能、行业模型、智能终端、特色类产品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重点突出产品应用领域、技术优势等重点信息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产品尺寸大小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选择实物展示或者电子屏展示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sectPr>
          <w:pgSz w:w="16838" w:h="11906" w:orient="landscape"/>
          <w:pgMar w:top="186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绍兴市人工智能应用场景需求征集表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W w:w="14450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85"/>
        <w:gridCol w:w="1138"/>
        <w:gridCol w:w="1138"/>
        <w:gridCol w:w="2307"/>
        <w:gridCol w:w="1655"/>
        <w:gridCol w:w="4009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应用领域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场景名称</w:t>
            </w:r>
          </w:p>
        </w:tc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场景需求描述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核心技术指标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例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AI+印染</w:t>
            </w: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印刷产线色差智能监测与调控系统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实时监测色差数据与工艺参数关联性，构建动态预测模型识别超标风险，并基于智能算法生成参数优化方案进行自动调控，形成闭环控制体系，解决印刷过程中色差波动导致的质量不稳定问题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如识别率大于xx%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00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绍兴市人工智能服务商征集表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3"/>
        <w:tblW w:w="14218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85"/>
        <w:gridCol w:w="2307"/>
        <w:gridCol w:w="2172"/>
        <w:gridCol w:w="2699"/>
        <w:gridCol w:w="1991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服务商名称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 xml:space="preserve">   联系人</w:t>
            </w:r>
          </w:p>
        </w:tc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服务商简介</w:t>
            </w: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服务领域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  <w:t>服务案例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  <w:t>例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xxx</w:t>
            </w:r>
          </w:p>
        </w:tc>
        <w:tc>
          <w:tcPr>
            <w:tcW w:w="2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简要介绍人工智能服务商的基本情况，重点体现技术能力和服务水平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如提供行业垂直模型服务、系统化解决方案或细分行业全流程服务等</w:t>
            </w: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介绍一到三个服务相关企业过程中涌现出的典型案例，可另附附件进行详细说明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871" w:header="851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F695F"/>
    <w:multiLevelType w:val="singleLevel"/>
    <w:tmpl w:val="C9FF695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BEAF6"/>
    <w:multiLevelType w:val="singleLevel"/>
    <w:tmpl w:val="FFFBEA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47FBE"/>
    <w:rsid w:val="0E80176A"/>
    <w:rsid w:val="10FD355B"/>
    <w:rsid w:val="1BA83BA5"/>
    <w:rsid w:val="2FFD4279"/>
    <w:rsid w:val="36974D0E"/>
    <w:rsid w:val="3D7B3789"/>
    <w:rsid w:val="48A73067"/>
    <w:rsid w:val="4BE73893"/>
    <w:rsid w:val="52BCF498"/>
    <w:rsid w:val="57FF80C7"/>
    <w:rsid w:val="5FE71957"/>
    <w:rsid w:val="60E21F32"/>
    <w:rsid w:val="660C14DC"/>
    <w:rsid w:val="682F4218"/>
    <w:rsid w:val="6C557961"/>
    <w:rsid w:val="75DFA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user</cp:lastModifiedBy>
  <cp:lastPrinted>2020-12-17T09:32:00Z</cp:lastPrinted>
  <dcterms:modified xsi:type="dcterms:W3CDTF">2025-07-25T16:05:36Z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