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C04C4">
      <w:pPr>
        <w:widowControl/>
        <w:wordWrap/>
        <w:spacing w:line="520" w:lineRule="exact"/>
        <w:jc w:val="left"/>
        <w:rPr>
          <w:rFonts w:hint="default" w:ascii="黑体" w:hAnsi="黑体" w:eastAsia="黑体" w:cs="黑体"/>
          <w:bCs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pacing w:val="-6"/>
          <w:sz w:val="32"/>
          <w:szCs w:val="32"/>
          <w:lang w:val="en-US" w:eastAsia="zh-CN"/>
        </w:rPr>
        <w:t>1</w:t>
      </w:r>
    </w:p>
    <w:p w14:paraId="132372F5">
      <w:pPr>
        <w:pStyle w:val="3"/>
        <w:numPr>
          <w:ilvl w:val="0"/>
          <w:numId w:val="0"/>
        </w:numPr>
        <w:jc w:val="center"/>
        <w:rPr>
          <w:rFonts w:hint="eastAsia" w:ascii="Times New Roman" w:eastAsia="方正小标宋简体" w:cs="Times New Roman"/>
          <w:b w:val="0"/>
          <w:bCs/>
          <w:snapToGrid w:val="0"/>
          <w:spacing w:val="-2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Times New Roman" w:eastAsia="方正小标宋简体" w:cs="Times New Roman"/>
          <w:b w:val="0"/>
          <w:bCs/>
          <w:snapToGrid w:val="0"/>
          <w:spacing w:val="-20"/>
          <w:w w:val="100"/>
          <w:kern w:val="0"/>
          <w:sz w:val="44"/>
          <w:szCs w:val="44"/>
          <w:lang w:val="en-US" w:eastAsia="zh-CN"/>
        </w:rPr>
        <w:t>产业链整零协同政策配套支持条款</w:t>
      </w:r>
      <w:bookmarkStart w:id="0" w:name="_GoBack"/>
      <w:bookmarkEnd w:id="0"/>
    </w:p>
    <w:p w14:paraId="776DC846"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71EAC8F"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1.人形机器人整机企业。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根据《杭州市促进人形机器人产业创新发展的若干政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策措施》（杭政办函〔2024〕66号）规定，人形机器人企业采购、应用非关联企业零部件产品，年度采购量达100万元的，按年度采购量的10%予以奖励，单家企业每年最高奖励500万元。</w:t>
      </w:r>
    </w:p>
    <w:p w14:paraId="494FE8AA"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机器人、增材制造企业。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加快推进高端装备制造业高质量发展的若干措施》（杭政办函〔2023〕56号）规定，机器人、增材制造企业采购、应用非关联零部件企业生产的产品，年采购额达到1000万元以上的，按不高于采购额新增部分5%的比例（上年同比保持增长）给予补助，单个企业每年享受补助不超过500万元。</w:t>
      </w:r>
    </w:p>
    <w:p w14:paraId="5C6B3ADA">
      <w:pPr>
        <w:pStyle w:val="3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3.汽车整车制造企业。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根据《加快推进高端装备制造业高质量发展的若干措施》（杭政办函〔2023〕56号）规定，对整车制造企业采购非关联零部件企业生产的产品，年采购额达到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1亿元以上且较上年度增长2%以上，按不高于新增部分1%的比例给予奖励，单个企业每年奖励不超过800万元。</w:t>
      </w:r>
    </w:p>
    <w:p w14:paraId="662FE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E4FD5"/>
    <w:rsid w:val="7AA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3"/>
    <w:qFormat/>
    <w:uiPriority w:val="0"/>
    <w:pPr>
      <w:spacing w:line="480" w:lineRule="auto"/>
      <w:ind w:firstLine="200" w:firstLineChars="200"/>
    </w:pPr>
    <w:rPr>
      <w:rFonts w:ascii="仿宋_GB2312" w:hAnsi="Times New Roman"/>
    </w:rPr>
  </w:style>
  <w:style w:type="paragraph" w:styleId="3">
    <w:name w:val="index 5"/>
    <w:basedOn w:val="1"/>
    <w:next w:val="1"/>
    <w:qFormat/>
    <w:uiPriority w:val="0"/>
    <w:pPr>
      <w:ind w:left="800" w:leftChars="8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2025-04-29T07:45:00Z</dcterms:created>
  <dc:creator>wangpeng</dc:creator>
  <cp:lastModifiedBy>wangpeng</cp:lastModifiedBy>
  <dcterms:modified xsi:type="dcterms:W3CDTF">2025-04-29T07:46:09Z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1EAE101290514390B7800435F7C61593_11</vt:lpwstr>
  </property>
  <property fmtid="{D5CDD505-2E9C-101B-9397-08002B2CF9AE}" pid="4" name="KSOTemplateDocerSaveRecord">
    <vt:lpwstr>eyJoZGlkIjoiOTMzMjBlZTFlMGY0MzUyYTQ3OGUyOWQ0YWE1N2Y2M2YifQ==</vt:lpwstr>
  </property>
</Properties>
</file>